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83" w:rsidRDefault="00282983" w:rsidP="00282983">
      <w:pPr>
        <w:pStyle w:val="a4"/>
      </w:pPr>
      <w:r>
        <w:t xml:space="preserve">ОТДЕЛ НД и </w:t>
      </w:r>
      <w:proofErr w:type="gramStart"/>
      <w:r>
        <w:t>ПР</w:t>
      </w:r>
      <w:proofErr w:type="gramEnd"/>
      <w:r>
        <w:t xml:space="preserve"> </w:t>
      </w:r>
      <w:proofErr w:type="spellStart"/>
      <w:r>
        <w:t>г.о</w:t>
      </w:r>
      <w:proofErr w:type="spellEnd"/>
      <w:r>
        <w:t>. МАКЕЕВКА, НАПОМИНАЕТ!</w:t>
      </w:r>
    </w:p>
    <w:p w:rsidR="00282983" w:rsidRDefault="00282983">
      <w:pPr>
        <w:pStyle w:val="1"/>
        <w:ind w:right="2"/>
      </w:pPr>
    </w:p>
    <w:p w:rsidR="00D31437" w:rsidRDefault="00F657FD">
      <w:pPr>
        <w:pStyle w:val="1"/>
        <w:ind w:right="2"/>
      </w:pPr>
      <w:r>
        <w:t>Пусть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 w:rsidR="00812005">
        <w:t>Г</w:t>
      </w:r>
      <w:bookmarkStart w:id="0" w:name="_GoBack"/>
      <w:bookmarkEnd w:id="0"/>
      <w:r>
        <w:t>од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rPr>
          <w:spacing w:val="-2"/>
        </w:rPr>
        <w:t>безопасным!</w:t>
      </w:r>
    </w:p>
    <w:p w:rsidR="00D31437" w:rsidRDefault="00F657FD" w:rsidP="003E1EA3">
      <w:pPr>
        <w:pStyle w:val="a3"/>
        <w:spacing w:before="272"/>
        <w:ind w:left="0" w:right="10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173990</wp:posOffset>
            </wp:positionV>
            <wp:extent cx="3350895" cy="2233930"/>
            <wp:effectExtent l="0" t="0" r="1905" b="0"/>
            <wp:wrapTight wrapText="bothSides">
              <wp:wrapPolygon edited="0">
                <wp:start x="0" y="0"/>
                <wp:lineTo x="0" y="21367"/>
                <wp:lineTo x="21489" y="21367"/>
                <wp:lineTo x="21489" y="0"/>
                <wp:lineTo x="0" y="0"/>
              </wp:wrapPolygon>
            </wp:wrapTight>
            <wp:docPr id="3" name="Рисунок 3" descr="C:\Users\Roman\Desktop\1638982077_14-almode-ru-p-deti-ukrashayut-yelku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1638982077_14-almode-ru-p-deti-ukrashayut-yelku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Среди прочих причин возникновения возгораний – несоблюдение элементарных мер пожарной безопасности. С наступлением холодов значительно возрастает нагрузка на электросеть. Многие люди, спасаясь от холода, включают дополнительные обогревательные приборы. Кроме того, семьи несколько праздничных дней находятся дома, активно используя телевизоры</w:t>
      </w:r>
      <w:r w:rsidR="003E1EA3">
        <w:t>, компьютеры, стиральные машины.</w:t>
      </w:r>
      <w:r>
        <w:t xml:space="preserve"> Из-за повышенной нагрузки электропроводка порой не выдерживает, что</w:t>
      </w:r>
      <w:r>
        <w:rPr>
          <w:spacing w:val="29"/>
        </w:rPr>
        <w:t xml:space="preserve"> </w:t>
      </w:r>
      <w:r>
        <w:t>зачастую становится</w:t>
      </w:r>
      <w:r w:rsidR="003E1EA3">
        <w:t xml:space="preserve"> </w:t>
      </w:r>
      <w:r>
        <w:t>причиной пожаров.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свечи.</w:t>
      </w:r>
    </w:p>
    <w:p w:rsidR="00D31437" w:rsidRPr="00AD3577" w:rsidRDefault="00AD3577" w:rsidP="00AD3577">
      <w:pPr>
        <w:pStyle w:val="a3"/>
        <w:spacing w:before="3" w:line="275" w:lineRule="exact"/>
        <w:ind w:firstLine="601"/>
        <w:jc w:val="left"/>
        <w:rPr>
          <w:u w:val="single"/>
        </w:rPr>
      </w:pPr>
      <w:r>
        <w:rPr>
          <w:spacing w:val="-2"/>
          <w:u w:val="single"/>
        </w:rPr>
        <w:t>Основные требования пожарной безопасности в жилых домах:</w:t>
      </w:r>
    </w:p>
    <w:p w:rsidR="00AD3577" w:rsidRDefault="00AD3577" w:rsidP="00AD3577">
      <w:pPr>
        <w:pStyle w:val="a3"/>
        <w:ind w:right="110" w:firstLine="601"/>
      </w:pPr>
      <w:r>
        <w:t>- э</w:t>
      </w:r>
      <w:r w:rsidR="00F657FD">
        <w:t>ксплуатация электрической гирлянды должна осуществляться строго по техническ</w:t>
      </w:r>
      <w:r>
        <w:t>ому паспорту к данному изделию;</w:t>
      </w:r>
    </w:p>
    <w:p w:rsidR="00AD3577" w:rsidRDefault="00AD3577" w:rsidP="00AD3577">
      <w:pPr>
        <w:pStyle w:val="a3"/>
        <w:ind w:right="110" w:firstLine="601"/>
        <w:rPr>
          <w:spacing w:val="-2"/>
        </w:rPr>
      </w:pPr>
      <w:r>
        <w:t>- н</w:t>
      </w:r>
      <w:r w:rsidR="00F657FD">
        <w:t>е рекомендуется зажигать дома бенгальские огни, использовать взрывающиеся хлопушки, зажигать на елках</w:t>
      </w:r>
      <w:r w:rsidR="00F657FD">
        <w:rPr>
          <w:spacing w:val="-3"/>
        </w:rPr>
        <w:t xml:space="preserve"> </w:t>
      </w:r>
      <w:r w:rsidR="00F657FD">
        <w:t>свечи, украша</w:t>
      </w:r>
      <w:r>
        <w:t>ть</w:t>
      </w:r>
      <w:r w:rsidR="00F657FD">
        <w:t xml:space="preserve"> их</w:t>
      </w:r>
      <w:r w:rsidR="00F657FD">
        <w:rPr>
          <w:spacing w:val="-3"/>
        </w:rPr>
        <w:t xml:space="preserve"> </w:t>
      </w:r>
      <w:r w:rsidR="00F657FD">
        <w:t xml:space="preserve">игрушками из легковоспламеняющихся </w:t>
      </w:r>
      <w:r>
        <w:rPr>
          <w:spacing w:val="-2"/>
        </w:rPr>
        <w:t>материалов;</w:t>
      </w:r>
    </w:p>
    <w:p w:rsidR="00AD3577" w:rsidRDefault="00AD3577" w:rsidP="00AD3577">
      <w:pPr>
        <w:pStyle w:val="a3"/>
        <w:ind w:right="110" w:firstLine="601"/>
      </w:pPr>
      <w:r>
        <w:rPr>
          <w:spacing w:val="-6"/>
        </w:rPr>
        <w:t>- н</w:t>
      </w:r>
      <w:r w:rsidR="00F657FD">
        <w:rPr>
          <w:spacing w:val="-6"/>
        </w:rPr>
        <w:t>е</w:t>
      </w:r>
      <w:r w:rsidR="00F657FD">
        <w:tab/>
      </w:r>
      <w:r w:rsidR="00F657FD">
        <w:rPr>
          <w:spacing w:val="-2"/>
        </w:rPr>
        <w:t>оставляйте</w:t>
      </w:r>
      <w:r w:rsidR="00F657FD">
        <w:tab/>
      </w:r>
      <w:r w:rsidR="00F657FD">
        <w:rPr>
          <w:spacing w:val="-4"/>
        </w:rPr>
        <w:t>без</w:t>
      </w:r>
      <w:r w:rsidR="00F657FD">
        <w:tab/>
      </w:r>
      <w:r w:rsidR="00F657FD">
        <w:rPr>
          <w:spacing w:val="-2"/>
        </w:rPr>
        <w:t>присмотра</w:t>
      </w:r>
      <w:r w:rsidR="00F657FD">
        <w:tab/>
      </w:r>
      <w:r w:rsidR="00F657FD">
        <w:rPr>
          <w:spacing w:val="-2"/>
        </w:rPr>
        <w:t>включенные</w:t>
      </w:r>
      <w:r w:rsidR="00F657FD">
        <w:tab/>
      </w:r>
      <w:r w:rsidR="00F657FD">
        <w:rPr>
          <w:spacing w:val="-2"/>
        </w:rPr>
        <w:t xml:space="preserve">электроприборы. </w:t>
      </w:r>
    </w:p>
    <w:p w:rsidR="00AD3577" w:rsidRDefault="00AD3577" w:rsidP="00AD3577">
      <w:pPr>
        <w:pStyle w:val="a3"/>
        <w:ind w:right="110" w:firstLine="601"/>
      </w:pPr>
      <w:r>
        <w:t>- устанавливать елку необходимо на надежном основании и на безопасном</w:t>
      </w:r>
      <w:r w:rsidR="00F657FD">
        <w:t xml:space="preserve"> расстоянии от электронагревательных приборов </w:t>
      </w:r>
    </w:p>
    <w:p w:rsidR="00D31437" w:rsidRDefault="00AD3577" w:rsidP="00AD3577">
      <w:pPr>
        <w:pStyle w:val="a3"/>
        <w:ind w:right="110" w:firstLine="601"/>
        <w:rPr>
          <w:spacing w:val="-2"/>
        </w:rPr>
      </w:pPr>
      <w:r>
        <w:t xml:space="preserve">- не зажигайте на ёлке и возле нее </w:t>
      </w:r>
      <w:r w:rsidR="00F657FD">
        <w:t>свечи</w:t>
      </w:r>
      <w:r>
        <w:t>, бенгальские огни</w:t>
      </w:r>
      <w:r w:rsidR="00F657FD">
        <w:t xml:space="preserve"> и </w:t>
      </w:r>
      <w:r>
        <w:t xml:space="preserve">прочие </w:t>
      </w:r>
      <w:r w:rsidR="00F657FD">
        <w:t xml:space="preserve">пиротехнические </w:t>
      </w:r>
      <w:r w:rsidR="00F657FD">
        <w:rPr>
          <w:spacing w:val="-2"/>
        </w:rPr>
        <w:t>изделия.</w:t>
      </w:r>
    </w:p>
    <w:p w:rsidR="00D31437" w:rsidRDefault="00F657FD" w:rsidP="00E54DB5">
      <w:pPr>
        <w:pStyle w:val="a3"/>
        <w:spacing w:before="1"/>
        <w:ind w:right="105" w:firstLine="601"/>
      </w:pPr>
      <w:r>
        <w:t>Кроме этого,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быту, а также не допустимости самостоятельного,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взрослых,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пиротехнических</w:t>
      </w:r>
      <w:r>
        <w:rPr>
          <w:spacing w:val="80"/>
        </w:rPr>
        <w:t xml:space="preserve"> </w:t>
      </w:r>
      <w:r>
        <w:t>изделий.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разрешайте</w:t>
      </w:r>
      <w:r>
        <w:rPr>
          <w:spacing w:val="-2"/>
        </w:rPr>
        <w:t xml:space="preserve"> </w:t>
      </w:r>
      <w:r>
        <w:t>детям играть</w:t>
      </w:r>
      <w:r>
        <w:rPr>
          <w:spacing w:val="-4"/>
        </w:rPr>
        <w:t xml:space="preserve"> </w:t>
      </w:r>
      <w:r>
        <w:t>около</w:t>
      </w:r>
      <w:r>
        <w:rPr>
          <w:spacing w:val="-1"/>
        </w:rPr>
        <w:t xml:space="preserve"> </w:t>
      </w:r>
      <w:r w:rsidR="00E54DB5">
        <w:t>ё</w:t>
      </w:r>
      <w:r>
        <w:t>лки в</w:t>
      </w:r>
      <w:r>
        <w:rPr>
          <w:spacing w:val="-4"/>
        </w:rPr>
        <w:t xml:space="preserve"> </w:t>
      </w:r>
      <w:r>
        <w:t>маскарадных</w:t>
      </w:r>
      <w:r>
        <w:rPr>
          <w:spacing w:val="-6"/>
        </w:rPr>
        <w:t xml:space="preserve"> </w:t>
      </w:r>
      <w:r>
        <w:t>костюмах</w:t>
      </w:r>
      <w:r>
        <w:rPr>
          <w:spacing w:val="-6"/>
        </w:rPr>
        <w:t xml:space="preserve"> </w:t>
      </w:r>
      <w:r>
        <w:t>из марли,</w:t>
      </w:r>
      <w:r>
        <w:rPr>
          <w:spacing w:val="-4"/>
        </w:rPr>
        <w:t xml:space="preserve"> </w:t>
      </w:r>
      <w:r>
        <w:t>ваты</w:t>
      </w:r>
      <w:r>
        <w:rPr>
          <w:spacing w:val="-3"/>
        </w:rPr>
        <w:t xml:space="preserve"> </w:t>
      </w:r>
      <w:r>
        <w:t xml:space="preserve">и бумаги, самостоятельно включать </w:t>
      </w:r>
      <w:proofErr w:type="spellStart"/>
      <w:r>
        <w:t>электрогирлянды</w:t>
      </w:r>
      <w:proofErr w:type="spellEnd"/>
      <w:r>
        <w:t>.</w:t>
      </w: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302F80" w:rsidRDefault="00302F80" w:rsidP="00302F80">
      <w:pPr>
        <w:pStyle w:val="1"/>
        <w:ind w:right="2"/>
      </w:pPr>
      <w:r>
        <w:rPr>
          <w:b w:val="0"/>
          <w:color w:val="000000"/>
          <w:sz w:val="36"/>
          <w:szCs w:val="36"/>
        </w:rPr>
        <w:t>ПРИ ПОЖАРЕ ЗВОНИТЕ ПО НОМЕРУ «101»</w:t>
      </w: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p w:rsidR="00E54DB5" w:rsidRDefault="00E54DB5">
      <w:pPr>
        <w:pStyle w:val="1"/>
      </w:pPr>
    </w:p>
    <w:sectPr w:rsidR="00E54DB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72B"/>
    <w:multiLevelType w:val="hybridMultilevel"/>
    <w:tmpl w:val="DFB241F8"/>
    <w:lvl w:ilvl="0" w:tplc="4846002A">
      <w:numFmt w:val="bullet"/>
      <w:lvlText w:val="-"/>
      <w:lvlJc w:val="left"/>
      <w:pPr>
        <w:ind w:left="272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69A90">
      <w:numFmt w:val="bullet"/>
      <w:lvlText w:val="•"/>
      <w:lvlJc w:val="left"/>
      <w:pPr>
        <w:ind w:left="3406" w:hanging="159"/>
      </w:pPr>
      <w:rPr>
        <w:rFonts w:hint="default"/>
        <w:lang w:val="ru-RU" w:eastAsia="en-US" w:bidi="ar-SA"/>
      </w:rPr>
    </w:lvl>
    <w:lvl w:ilvl="2" w:tplc="0B88DD2C">
      <w:numFmt w:val="bullet"/>
      <w:lvlText w:val="•"/>
      <w:lvlJc w:val="left"/>
      <w:pPr>
        <w:ind w:left="4092" w:hanging="159"/>
      </w:pPr>
      <w:rPr>
        <w:rFonts w:hint="default"/>
        <w:lang w:val="ru-RU" w:eastAsia="en-US" w:bidi="ar-SA"/>
      </w:rPr>
    </w:lvl>
    <w:lvl w:ilvl="3" w:tplc="59B87330">
      <w:numFmt w:val="bullet"/>
      <w:lvlText w:val="•"/>
      <w:lvlJc w:val="left"/>
      <w:pPr>
        <w:ind w:left="4779" w:hanging="159"/>
      </w:pPr>
      <w:rPr>
        <w:rFonts w:hint="default"/>
        <w:lang w:val="ru-RU" w:eastAsia="en-US" w:bidi="ar-SA"/>
      </w:rPr>
    </w:lvl>
    <w:lvl w:ilvl="4" w:tplc="9C5AAFEE">
      <w:numFmt w:val="bullet"/>
      <w:lvlText w:val="•"/>
      <w:lvlJc w:val="left"/>
      <w:pPr>
        <w:ind w:left="5465" w:hanging="159"/>
      </w:pPr>
      <w:rPr>
        <w:rFonts w:hint="default"/>
        <w:lang w:val="ru-RU" w:eastAsia="en-US" w:bidi="ar-SA"/>
      </w:rPr>
    </w:lvl>
    <w:lvl w:ilvl="5" w:tplc="C5D63CA0">
      <w:numFmt w:val="bullet"/>
      <w:lvlText w:val="•"/>
      <w:lvlJc w:val="left"/>
      <w:pPr>
        <w:ind w:left="6152" w:hanging="159"/>
      </w:pPr>
      <w:rPr>
        <w:rFonts w:hint="default"/>
        <w:lang w:val="ru-RU" w:eastAsia="en-US" w:bidi="ar-SA"/>
      </w:rPr>
    </w:lvl>
    <w:lvl w:ilvl="6" w:tplc="2562A552">
      <w:numFmt w:val="bullet"/>
      <w:lvlText w:val="•"/>
      <w:lvlJc w:val="left"/>
      <w:pPr>
        <w:ind w:left="6838" w:hanging="159"/>
      </w:pPr>
      <w:rPr>
        <w:rFonts w:hint="default"/>
        <w:lang w:val="ru-RU" w:eastAsia="en-US" w:bidi="ar-SA"/>
      </w:rPr>
    </w:lvl>
    <w:lvl w:ilvl="7" w:tplc="A4BEA370">
      <w:numFmt w:val="bullet"/>
      <w:lvlText w:val="•"/>
      <w:lvlJc w:val="left"/>
      <w:pPr>
        <w:ind w:left="7524" w:hanging="159"/>
      </w:pPr>
      <w:rPr>
        <w:rFonts w:hint="default"/>
        <w:lang w:val="ru-RU" w:eastAsia="en-US" w:bidi="ar-SA"/>
      </w:rPr>
    </w:lvl>
    <w:lvl w:ilvl="8" w:tplc="8D44DF12">
      <w:numFmt w:val="bullet"/>
      <w:lvlText w:val="•"/>
      <w:lvlJc w:val="left"/>
      <w:pPr>
        <w:ind w:left="8211" w:hanging="159"/>
      </w:pPr>
      <w:rPr>
        <w:rFonts w:hint="default"/>
        <w:lang w:val="ru-RU" w:eastAsia="en-US" w:bidi="ar-SA"/>
      </w:rPr>
    </w:lvl>
  </w:abstractNum>
  <w:abstractNum w:abstractNumId="1">
    <w:nsid w:val="6C39114E"/>
    <w:multiLevelType w:val="hybridMultilevel"/>
    <w:tmpl w:val="47CCAD54"/>
    <w:lvl w:ilvl="0" w:tplc="FEDE1EF0">
      <w:start w:val="1"/>
      <w:numFmt w:val="decimal"/>
      <w:lvlText w:val="%1.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E0A5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E844F5DE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D83C3274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D5B4D24E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B128F92A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8A0A0C78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9C10C072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655A8542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437"/>
    <w:rsid w:val="00282983"/>
    <w:rsid w:val="00302F80"/>
    <w:rsid w:val="003E1EA3"/>
    <w:rsid w:val="00812005"/>
    <w:rsid w:val="00AD3577"/>
    <w:rsid w:val="00AE3375"/>
    <w:rsid w:val="00D31437"/>
    <w:rsid w:val="00E54DB5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1"/>
      <w:ind w:left="10" w:right="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65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7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02F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uiPriority w:val="1"/>
    <w:rsid w:val="0028298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1"/>
      <w:ind w:left="10" w:right="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65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7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02F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uiPriority w:val="1"/>
    <w:rsid w:val="0028298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Плохой</dc:creator>
  <cp:lastModifiedBy>Roman</cp:lastModifiedBy>
  <cp:revision>7</cp:revision>
  <dcterms:created xsi:type="dcterms:W3CDTF">2023-12-18T10:55:00Z</dcterms:created>
  <dcterms:modified xsi:type="dcterms:W3CDTF">2023-12-20T06:36:00Z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  <property fmtid="{D5CDD505-2E9C-101B-9397-08002B2CF9AE}" pid="5" name="Producer">
    <vt:lpwstr>www.ilovepdf.com</vt:lpwstr>
  </property>
</Properties>
</file>